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0366EE" w14:textId="77777777" w:rsidR="00DC7049" w:rsidRDefault="00DC7049" w:rsidP="00FA0FF9">
      <w:pPr>
        <w:pBdr>
          <w:top w:val="single" w:sz="4" w:space="1" w:color="auto"/>
          <w:left w:val="single" w:sz="4" w:space="4" w:color="auto"/>
          <w:bottom w:val="single" w:sz="4" w:space="1" w:color="auto"/>
          <w:right w:val="single" w:sz="4" w:space="4" w:color="auto"/>
        </w:pBdr>
        <w:spacing w:before="0"/>
        <w:jc w:val="center"/>
        <w:rPr>
          <w:rFonts w:ascii="Arial" w:hAnsi="Arial" w:cs="Arial"/>
          <w:b/>
          <w:sz w:val="24"/>
          <w:szCs w:val="24"/>
          <w:u w:val="single"/>
        </w:rPr>
      </w:pPr>
    </w:p>
    <w:p w14:paraId="64C96B93" w14:textId="0DB997DB" w:rsidR="00FA0FF9" w:rsidRDefault="00FA0FF9" w:rsidP="00FA0FF9">
      <w:pPr>
        <w:pBdr>
          <w:top w:val="single" w:sz="4" w:space="1" w:color="auto"/>
          <w:left w:val="single" w:sz="4" w:space="4" w:color="auto"/>
          <w:bottom w:val="single" w:sz="4" w:space="1" w:color="auto"/>
          <w:right w:val="single" w:sz="4" w:space="4" w:color="auto"/>
        </w:pBdr>
        <w:spacing w:before="0"/>
        <w:jc w:val="center"/>
        <w:rPr>
          <w:rFonts w:ascii="Arial" w:hAnsi="Arial" w:cs="Arial"/>
          <w:b/>
          <w:sz w:val="24"/>
          <w:szCs w:val="24"/>
          <w:u w:val="single"/>
        </w:rPr>
      </w:pPr>
      <w:r w:rsidRPr="00FA0FF9">
        <w:rPr>
          <w:rFonts w:ascii="Arial" w:hAnsi="Arial" w:cs="Arial"/>
          <w:b/>
          <w:sz w:val="24"/>
          <w:szCs w:val="24"/>
          <w:u w:val="single"/>
        </w:rPr>
        <w:t xml:space="preserve">Note </w:t>
      </w:r>
      <w:r w:rsidR="00DC7049">
        <w:rPr>
          <w:rFonts w:ascii="Arial" w:hAnsi="Arial" w:cs="Arial"/>
          <w:b/>
          <w:sz w:val="24"/>
          <w:szCs w:val="24"/>
          <w:u w:val="single"/>
        </w:rPr>
        <w:t>sur l’organisation d’une consultation par la commune</w:t>
      </w:r>
    </w:p>
    <w:p w14:paraId="0F66A6E2" w14:textId="77777777" w:rsidR="00DC7049" w:rsidRPr="00FA0FF9" w:rsidRDefault="00DC7049" w:rsidP="00FA0FF9">
      <w:pPr>
        <w:pBdr>
          <w:top w:val="single" w:sz="4" w:space="1" w:color="auto"/>
          <w:left w:val="single" w:sz="4" w:space="4" w:color="auto"/>
          <w:bottom w:val="single" w:sz="4" w:space="1" w:color="auto"/>
          <w:right w:val="single" w:sz="4" w:space="4" w:color="auto"/>
        </w:pBdr>
        <w:spacing w:before="0"/>
        <w:jc w:val="center"/>
        <w:rPr>
          <w:rFonts w:ascii="Arial" w:hAnsi="Arial" w:cs="Arial"/>
          <w:b/>
          <w:sz w:val="24"/>
          <w:szCs w:val="24"/>
          <w:u w:val="single"/>
        </w:rPr>
      </w:pPr>
    </w:p>
    <w:p w14:paraId="114AE746" w14:textId="5F069D07" w:rsidR="00F06BB3" w:rsidRPr="00F06BB3" w:rsidRDefault="00F06BB3" w:rsidP="00F06BB3">
      <w:pPr>
        <w:pStyle w:val="western"/>
        <w:shd w:val="clear" w:color="auto" w:fill="FFFFFF"/>
        <w:spacing w:before="240" w:beforeAutospacing="0" w:after="240" w:afterAutospacing="0" w:line="168" w:lineRule="atLeast"/>
        <w:jc w:val="both"/>
        <w:rPr>
          <w:rFonts w:ascii="Arial" w:hAnsi="Arial" w:cs="Arial"/>
          <w:b/>
          <w:bCs/>
        </w:rPr>
      </w:pPr>
      <w:r w:rsidRPr="00F06BB3">
        <w:rPr>
          <w:rFonts w:ascii="Arial" w:hAnsi="Arial" w:cs="Arial"/>
          <w:b/>
          <w:bCs/>
        </w:rPr>
        <w:t xml:space="preserve">Cette procédure est codifiée aux articles </w:t>
      </w:r>
      <w:hyperlink r:id="rId8" w:tgtFrame="_blank" w:tooltip="Ouvrir " w:history="1">
        <w:r w:rsidRPr="00F06BB3">
          <w:rPr>
            <w:rStyle w:val="Lienhypertexte"/>
            <w:rFonts w:ascii="Arial" w:hAnsi="Arial" w:cs="Arial"/>
            <w:b/>
            <w:bCs/>
          </w:rPr>
          <w:t>L1112-15 à L1112-22</w:t>
        </w:r>
      </w:hyperlink>
      <w:r w:rsidRPr="00F06BB3">
        <w:rPr>
          <w:rFonts w:ascii="Arial" w:hAnsi="Arial" w:cs="Arial"/>
          <w:b/>
          <w:bCs/>
        </w:rPr>
        <w:t xml:space="preserve"> du CGCT.</w:t>
      </w:r>
    </w:p>
    <w:p w14:paraId="4DA79111" w14:textId="05095E56" w:rsidR="00F06BB3" w:rsidRDefault="00F06BB3" w:rsidP="00F06BB3">
      <w:pPr>
        <w:pStyle w:val="western"/>
        <w:shd w:val="clear" w:color="auto" w:fill="FFFFFF"/>
        <w:spacing w:before="240" w:beforeAutospacing="0" w:after="240" w:afterAutospacing="0" w:line="168" w:lineRule="atLeast"/>
        <w:jc w:val="both"/>
        <w:rPr>
          <w:rFonts w:ascii="Arial" w:hAnsi="Arial" w:cs="Arial"/>
        </w:rPr>
      </w:pPr>
      <w:r w:rsidRPr="00F06BB3">
        <w:rPr>
          <w:rFonts w:ascii="Arial" w:hAnsi="Arial" w:cs="Arial"/>
        </w:rPr>
        <w:t xml:space="preserve">La consultation pour avis des électeurs a vocation à intervenir en amont d'un processus de décision. Les électeurs de la commune peuvent être consultés sur les décisions que les autorités municipales sont appelées à prendre pour régler les affaires de la commune. D'une manière générale, tous les électeurs de la commune sont consultés. Toutefois, il est possible de ne consulter que ceux concernés par des affaires </w:t>
      </w:r>
      <w:r w:rsidR="00623094">
        <w:rPr>
          <w:rFonts w:ascii="Arial" w:hAnsi="Arial" w:cs="Arial"/>
        </w:rPr>
        <w:t>n’</w:t>
      </w:r>
      <w:r w:rsidRPr="00F06BB3">
        <w:rPr>
          <w:rFonts w:ascii="Arial" w:hAnsi="Arial" w:cs="Arial"/>
        </w:rPr>
        <w:t xml:space="preserve">intéressant </w:t>
      </w:r>
      <w:r w:rsidR="00623094">
        <w:rPr>
          <w:rFonts w:ascii="Arial" w:hAnsi="Arial" w:cs="Arial"/>
        </w:rPr>
        <w:t>qu’une</w:t>
      </w:r>
      <w:r w:rsidRPr="00F06BB3">
        <w:rPr>
          <w:rFonts w:ascii="Arial" w:hAnsi="Arial" w:cs="Arial"/>
        </w:rPr>
        <w:t xml:space="preserve"> partie du territoire de la commune</w:t>
      </w:r>
      <w:r>
        <w:rPr>
          <w:rFonts w:ascii="Arial" w:hAnsi="Arial" w:cs="Arial"/>
        </w:rPr>
        <w:t xml:space="preserve"> (le cas échéant, les </w:t>
      </w:r>
      <w:r w:rsidRPr="00623094">
        <w:rPr>
          <w:rFonts w:ascii="Arial" w:hAnsi="Arial" w:cs="Arial"/>
        </w:rPr>
        <w:t>électeurs d’une</w:t>
      </w:r>
      <w:r>
        <w:rPr>
          <w:rFonts w:ascii="Arial" w:hAnsi="Arial" w:cs="Arial"/>
        </w:rPr>
        <w:t xml:space="preserve"> section, par exemple).</w:t>
      </w:r>
    </w:p>
    <w:p w14:paraId="17DEA110" w14:textId="0E95C465" w:rsidR="00F06BB3" w:rsidRPr="00F06BB3" w:rsidRDefault="00F06BB3" w:rsidP="00F06BB3">
      <w:pPr>
        <w:pStyle w:val="western"/>
        <w:shd w:val="clear" w:color="auto" w:fill="FFFFFF"/>
        <w:spacing w:before="240" w:beforeAutospacing="0" w:after="240" w:afterAutospacing="0" w:line="168" w:lineRule="atLeast"/>
        <w:jc w:val="both"/>
        <w:rPr>
          <w:rFonts w:ascii="Arial" w:hAnsi="Arial" w:cs="Arial"/>
        </w:rPr>
      </w:pPr>
      <w:r>
        <w:rPr>
          <w:rFonts w:ascii="Arial" w:hAnsi="Arial" w:cs="Arial"/>
        </w:rPr>
        <w:t>Le Conseil municipal</w:t>
      </w:r>
      <w:r w:rsidRPr="00F06BB3">
        <w:rPr>
          <w:rFonts w:ascii="Arial" w:hAnsi="Arial" w:cs="Arial"/>
        </w:rPr>
        <w:t xml:space="preserve"> arrête le principe et les modalités d'organisation de la consultation. Sa délibération </w:t>
      </w:r>
      <w:r w:rsidR="00623094">
        <w:rPr>
          <w:rFonts w:ascii="Arial" w:hAnsi="Arial" w:cs="Arial"/>
        </w:rPr>
        <w:t xml:space="preserve">(cf. modèle fourni dans la boite à outils) </w:t>
      </w:r>
      <w:r w:rsidRPr="00F06BB3">
        <w:rPr>
          <w:rFonts w:ascii="Arial" w:hAnsi="Arial" w:cs="Arial"/>
        </w:rPr>
        <w:t>indique expressément que cette consultation n'est qu'une demande d'avis. Elle fixe le jour du scrutin et convoque les électeurs. Elle est transmise deux mois au moins avant la date du scrutin au représentant de l'Etat. Si celui-ci l'estime illégale, il dispose d'un délai de dix jours à compter de sa réception pour la déférer au tribunal administratif. Il peut assortir son recours d'une demande de suspension.</w:t>
      </w:r>
    </w:p>
    <w:p w14:paraId="5F5B7279" w14:textId="0ADDB78A" w:rsidR="00F06BB3" w:rsidRPr="00F06BB3" w:rsidRDefault="00F06BB3" w:rsidP="00F06BB3">
      <w:pPr>
        <w:pStyle w:val="western"/>
        <w:shd w:val="clear" w:color="auto" w:fill="FFFFFF"/>
        <w:spacing w:before="240" w:beforeAutospacing="0" w:after="240" w:afterAutospacing="0" w:line="168" w:lineRule="atLeast"/>
        <w:jc w:val="both"/>
        <w:rPr>
          <w:rFonts w:ascii="Arial" w:hAnsi="Arial" w:cs="Arial"/>
          <w:bCs/>
        </w:rPr>
      </w:pPr>
      <w:r w:rsidRPr="00F06BB3">
        <w:rPr>
          <w:rFonts w:ascii="Arial" w:hAnsi="Arial" w:cs="Arial"/>
          <w:bCs/>
        </w:rPr>
        <w:t xml:space="preserve">Le public doit être informé qu'il s'agit d'une demande d'avis et que la commune ne peut, pendant </w:t>
      </w:r>
      <w:r>
        <w:rPr>
          <w:rFonts w:ascii="Arial" w:hAnsi="Arial" w:cs="Arial"/>
          <w:bCs/>
        </w:rPr>
        <w:t>un</w:t>
      </w:r>
      <w:r w:rsidRPr="00F06BB3">
        <w:rPr>
          <w:rFonts w:ascii="Arial" w:hAnsi="Arial" w:cs="Arial"/>
          <w:bCs/>
        </w:rPr>
        <w:t xml:space="preserve"> délai d'un an à compter de la tenue </w:t>
      </w:r>
      <w:r>
        <w:rPr>
          <w:rFonts w:ascii="Arial" w:hAnsi="Arial" w:cs="Arial"/>
          <w:bCs/>
        </w:rPr>
        <w:t xml:space="preserve">d’une </w:t>
      </w:r>
      <w:r w:rsidRPr="00F06BB3">
        <w:rPr>
          <w:rFonts w:ascii="Arial" w:hAnsi="Arial" w:cs="Arial"/>
          <w:bCs/>
        </w:rPr>
        <w:t xml:space="preserve">consultation des électeurs, organiser une autre consultation sur le même objet. </w:t>
      </w:r>
    </w:p>
    <w:p w14:paraId="771F5345" w14:textId="694E7B14" w:rsidR="009E33E6" w:rsidRDefault="00F06BB3" w:rsidP="00F06BB3">
      <w:pPr>
        <w:pStyle w:val="western"/>
        <w:shd w:val="clear" w:color="auto" w:fill="FFFFFF"/>
        <w:spacing w:before="240" w:beforeAutospacing="0" w:after="240" w:afterAutospacing="0" w:line="168" w:lineRule="atLeast"/>
        <w:jc w:val="both"/>
        <w:rPr>
          <w:rFonts w:ascii="Arial" w:hAnsi="Arial" w:cs="Arial"/>
          <w:bCs/>
        </w:rPr>
      </w:pPr>
      <w:r w:rsidRPr="00F06BB3">
        <w:rPr>
          <w:rFonts w:ascii="Arial" w:hAnsi="Arial" w:cs="Arial"/>
          <w:bCs/>
        </w:rPr>
        <w:t>Après avoir pris connaissance du résultat de la consultation des électeurs qui se prononcent par oui ou par non, l'autorité compétente de la commune arrête sa décision sur l'affaire qui a fait l'objet de la consultation.</w:t>
      </w:r>
    </w:p>
    <w:p w14:paraId="3AFAE0E8" w14:textId="33CF9590" w:rsidR="00F42B7F" w:rsidRPr="00F42B7F" w:rsidRDefault="00623094" w:rsidP="00F42B7F">
      <w:pPr>
        <w:pStyle w:val="western"/>
        <w:shd w:val="clear" w:color="auto" w:fill="FFFFFF"/>
        <w:spacing w:before="240" w:beforeAutospacing="0" w:after="240" w:afterAutospacing="0" w:line="168" w:lineRule="atLeast"/>
        <w:rPr>
          <w:rFonts w:ascii="Arial" w:hAnsi="Arial" w:cs="Arial"/>
          <w:b/>
          <w:bCs/>
        </w:rPr>
      </w:pPr>
      <w:r>
        <w:rPr>
          <w:rFonts w:ascii="Arial" w:hAnsi="Arial" w:cs="Arial"/>
          <w:b/>
          <w:bCs/>
        </w:rPr>
        <w:t>Sur la question de la consultation :</w:t>
      </w:r>
    </w:p>
    <w:p w14:paraId="3994644F" w14:textId="77777777" w:rsidR="00F42B7F" w:rsidRDefault="00F42B7F" w:rsidP="00F42B7F">
      <w:pPr>
        <w:pStyle w:val="western"/>
        <w:shd w:val="clear" w:color="auto" w:fill="FFFFFF"/>
        <w:spacing w:before="240" w:beforeAutospacing="0" w:after="240" w:afterAutospacing="0" w:line="168" w:lineRule="atLeast"/>
        <w:jc w:val="both"/>
        <w:rPr>
          <w:rFonts w:ascii="Arial" w:hAnsi="Arial" w:cs="Arial"/>
        </w:rPr>
      </w:pPr>
      <w:r w:rsidRPr="008529F0">
        <w:rPr>
          <w:rFonts w:ascii="Arial" w:hAnsi="Arial" w:cs="Arial"/>
        </w:rPr>
        <w:t>Les électeurs répondront par « oui » ou par « non » à la question </w:t>
      </w:r>
      <w:r>
        <w:rPr>
          <w:rFonts w:ascii="Arial" w:hAnsi="Arial" w:cs="Arial"/>
        </w:rPr>
        <w:t xml:space="preserve">du type </w:t>
      </w:r>
      <w:r w:rsidRPr="008529F0">
        <w:rPr>
          <w:rFonts w:ascii="Arial" w:hAnsi="Arial" w:cs="Arial"/>
        </w:rPr>
        <w:t>: « Êtes-vous favorable à ... » (rappeler le projet).</w:t>
      </w:r>
      <w:r>
        <w:rPr>
          <w:rFonts w:ascii="Arial" w:hAnsi="Arial" w:cs="Arial"/>
        </w:rPr>
        <w:t xml:space="preserve"> </w:t>
      </w:r>
      <w:r w:rsidR="00B83DE0">
        <w:rPr>
          <w:rFonts w:ascii="Arial" w:hAnsi="Arial" w:cs="Arial"/>
        </w:rPr>
        <w:t>Les textes ne précis</w:t>
      </w:r>
      <w:r w:rsidR="008529F0">
        <w:rPr>
          <w:rFonts w:ascii="Arial" w:hAnsi="Arial" w:cs="Arial"/>
        </w:rPr>
        <w:t>an</w:t>
      </w:r>
      <w:r w:rsidR="00B83DE0">
        <w:rPr>
          <w:rFonts w:ascii="Arial" w:hAnsi="Arial" w:cs="Arial"/>
        </w:rPr>
        <w:t>t pas</w:t>
      </w:r>
      <w:r w:rsidR="008529F0">
        <w:rPr>
          <w:rFonts w:ascii="Arial" w:hAnsi="Arial" w:cs="Arial"/>
        </w:rPr>
        <w:t xml:space="preserve"> de cadre particulier pour cela, le conseil municipal est libre de choisir </w:t>
      </w:r>
      <w:r w:rsidR="00E27F7C">
        <w:rPr>
          <w:rFonts w:ascii="Arial" w:hAnsi="Arial" w:cs="Arial"/>
        </w:rPr>
        <w:t>le sujet</w:t>
      </w:r>
      <w:r w:rsidR="008529F0">
        <w:rPr>
          <w:rFonts w:ascii="Arial" w:hAnsi="Arial" w:cs="Arial"/>
        </w:rPr>
        <w:t xml:space="preserve"> de son choix</w:t>
      </w:r>
      <w:r w:rsidR="00E27F7C">
        <w:rPr>
          <w:rFonts w:ascii="Arial" w:hAnsi="Arial" w:cs="Arial"/>
        </w:rPr>
        <w:t xml:space="preserve"> à porter à l’approbation des électeurs.</w:t>
      </w:r>
    </w:p>
    <w:p w14:paraId="1DE5DCFE" w14:textId="7A2E8F38" w:rsidR="00623094" w:rsidRDefault="00E27F7C" w:rsidP="00F42B7F">
      <w:pPr>
        <w:pStyle w:val="western"/>
        <w:shd w:val="clear" w:color="auto" w:fill="FFFFFF"/>
        <w:spacing w:before="240" w:beforeAutospacing="0" w:after="240" w:afterAutospacing="0" w:line="168" w:lineRule="atLeast"/>
        <w:jc w:val="both"/>
        <w:rPr>
          <w:rFonts w:ascii="Arial" w:hAnsi="Arial" w:cs="Arial"/>
        </w:rPr>
      </w:pPr>
      <w:r w:rsidRPr="00721967">
        <w:rPr>
          <w:rFonts w:ascii="Arial" w:hAnsi="Arial" w:cs="Arial"/>
        </w:rPr>
        <w:t xml:space="preserve">Il n’est </w:t>
      </w:r>
      <w:r w:rsidRPr="00721967">
        <w:rPr>
          <w:rFonts w:ascii="Arial" w:hAnsi="Arial" w:cs="Arial"/>
          <w:i/>
          <w:iCs/>
        </w:rPr>
        <w:t>techniquement</w:t>
      </w:r>
      <w:r w:rsidRPr="00721967">
        <w:rPr>
          <w:rFonts w:ascii="Arial" w:hAnsi="Arial" w:cs="Arial"/>
        </w:rPr>
        <w:t xml:space="preserve"> pas nécessaire que la question soit liée au transfert des biens de la section dans le patrimoine communal et peut donc porter sur n’importe quel point de gestion courante. Cela étant dit, une telle approche employée dans le but précis de favoriser l’abstention (et ainsi permettre le transfert via l’article L2411-12-1 du CGCT) pourrait être </w:t>
      </w:r>
      <w:r w:rsidR="00F42B7F" w:rsidRPr="00721967">
        <w:rPr>
          <w:rFonts w:ascii="Arial" w:hAnsi="Arial" w:cs="Arial"/>
        </w:rPr>
        <w:t>contestée par la suite. Il n’existe à l’heure actuelle aucune jurisprudence permettant d’affirmer que ce procédé ne serait pas débouté lors d’un jugement au tribunal administratif.</w:t>
      </w:r>
    </w:p>
    <w:sectPr w:rsidR="00623094" w:rsidSect="009E33E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4D76B0"/>
    <w:multiLevelType w:val="hybridMultilevel"/>
    <w:tmpl w:val="6AEE8C8C"/>
    <w:lvl w:ilvl="0" w:tplc="D0A04604">
      <w:start w:val="12"/>
      <w:numFmt w:val="bullet"/>
      <w:lvlText w:val="-"/>
      <w:lvlJc w:val="left"/>
      <w:pPr>
        <w:ind w:left="720" w:hanging="360"/>
      </w:pPr>
      <w:rPr>
        <w:rFonts w:ascii="Verdana" w:eastAsia="Verdana" w:hAnsi="Verdana"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3194BCA"/>
    <w:multiLevelType w:val="multilevel"/>
    <w:tmpl w:val="9B8491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3601CE2"/>
    <w:multiLevelType w:val="hybridMultilevel"/>
    <w:tmpl w:val="5B8A41D2"/>
    <w:lvl w:ilvl="0" w:tplc="6C20AAD6">
      <w:start w:val="12"/>
      <w:numFmt w:val="bullet"/>
      <w:lvlText w:val="-"/>
      <w:lvlJc w:val="left"/>
      <w:pPr>
        <w:ind w:left="720" w:hanging="360"/>
      </w:pPr>
      <w:rPr>
        <w:rFonts w:ascii="Arial" w:eastAsia="Verdana"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F2C4901"/>
    <w:multiLevelType w:val="hybridMultilevel"/>
    <w:tmpl w:val="B302D0D8"/>
    <w:lvl w:ilvl="0" w:tplc="9AE85914">
      <w:numFmt w:val="bullet"/>
      <w:lvlText w:val=""/>
      <w:lvlJc w:val="left"/>
      <w:pPr>
        <w:ind w:left="720" w:hanging="360"/>
      </w:pPr>
      <w:rPr>
        <w:rFonts w:ascii="Wingdings" w:eastAsia="Times New Roman" w:hAnsi="Wingdings"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432C2117"/>
    <w:multiLevelType w:val="hybridMultilevel"/>
    <w:tmpl w:val="E07EC494"/>
    <w:lvl w:ilvl="0" w:tplc="469ACF9A">
      <w:numFmt w:val="bullet"/>
      <w:lvlText w:val="-"/>
      <w:lvlJc w:val="left"/>
      <w:pPr>
        <w:ind w:left="720" w:hanging="360"/>
      </w:pPr>
      <w:rPr>
        <w:rFonts w:ascii="Verdana" w:eastAsia="Verdana" w:hAnsi="Verdana"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65DD144D"/>
    <w:multiLevelType w:val="hybridMultilevel"/>
    <w:tmpl w:val="FF84FED0"/>
    <w:lvl w:ilvl="0" w:tplc="D59C443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690961165">
    <w:abstractNumId w:val="1"/>
  </w:num>
  <w:num w:numId="2" w16cid:durableId="1822886550">
    <w:abstractNumId w:val="4"/>
  </w:num>
  <w:num w:numId="3" w16cid:durableId="1166825450">
    <w:abstractNumId w:val="5"/>
  </w:num>
  <w:num w:numId="4" w16cid:durableId="841092652">
    <w:abstractNumId w:val="2"/>
  </w:num>
  <w:num w:numId="5" w16cid:durableId="215242039">
    <w:abstractNumId w:val="0"/>
  </w:num>
  <w:num w:numId="6" w16cid:durableId="7143722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6E01"/>
    <w:rsid w:val="000E6E01"/>
    <w:rsid w:val="00161C84"/>
    <w:rsid w:val="00275311"/>
    <w:rsid w:val="004052B8"/>
    <w:rsid w:val="00433EFF"/>
    <w:rsid w:val="00436CBC"/>
    <w:rsid w:val="004E68E5"/>
    <w:rsid w:val="005255DB"/>
    <w:rsid w:val="00535873"/>
    <w:rsid w:val="00553A78"/>
    <w:rsid w:val="005748BC"/>
    <w:rsid w:val="00583005"/>
    <w:rsid w:val="00623094"/>
    <w:rsid w:val="006F44FF"/>
    <w:rsid w:val="00721967"/>
    <w:rsid w:val="00733073"/>
    <w:rsid w:val="007E3CBD"/>
    <w:rsid w:val="00800D98"/>
    <w:rsid w:val="008529F0"/>
    <w:rsid w:val="00857A82"/>
    <w:rsid w:val="00910ED2"/>
    <w:rsid w:val="009E33E6"/>
    <w:rsid w:val="009F0F7D"/>
    <w:rsid w:val="00A4782D"/>
    <w:rsid w:val="00AA0987"/>
    <w:rsid w:val="00B83DE0"/>
    <w:rsid w:val="00C106E2"/>
    <w:rsid w:val="00D83885"/>
    <w:rsid w:val="00DC7049"/>
    <w:rsid w:val="00DD14FC"/>
    <w:rsid w:val="00DE5390"/>
    <w:rsid w:val="00E01338"/>
    <w:rsid w:val="00E27F7C"/>
    <w:rsid w:val="00E86BBA"/>
    <w:rsid w:val="00EB2DCB"/>
    <w:rsid w:val="00F06BB3"/>
    <w:rsid w:val="00F42B7F"/>
    <w:rsid w:val="00FA0FF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D14C0A"/>
  <w15:chartTrackingRefBased/>
  <w15:docId w15:val="{9CD2241A-FD63-4FFB-B1C1-BE87A9E1EB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Verdana" w:hAnsi="Verdana"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6E01"/>
    <w:pPr>
      <w:spacing w:before="120"/>
      <w:jc w:val="both"/>
    </w:pPr>
    <w:rPr>
      <w:sz w:val="22"/>
      <w:szCs w:val="22"/>
      <w:lang w:eastAsia="en-US"/>
    </w:rPr>
  </w:style>
  <w:style w:type="paragraph" w:styleId="Titre3">
    <w:name w:val="heading 3"/>
    <w:basedOn w:val="Normal"/>
    <w:link w:val="Titre3Car"/>
    <w:uiPriority w:val="9"/>
    <w:qFormat/>
    <w:rsid w:val="007E3CBD"/>
    <w:pPr>
      <w:spacing w:before="100" w:beforeAutospacing="1" w:after="100" w:afterAutospacing="1"/>
      <w:jc w:val="left"/>
      <w:outlineLvl w:val="2"/>
    </w:pPr>
    <w:rPr>
      <w:rFonts w:ascii="Times New Roman" w:eastAsia="Times New Roman" w:hAnsi="Times New Roman"/>
      <w:b/>
      <w:bCs/>
      <w:sz w:val="27"/>
      <w:szCs w:val="27"/>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3Car">
    <w:name w:val="Titre 3 Car"/>
    <w:basedOn w:val="Policepardfaut"/>
    <w:link w:val="Titre3"/>
    <w:uiPriority w:val="9"/>
    <w:rsid w:val="007E3CBD"/>
    <w:rPr>
      <w:rFonts w:ascii="Times New Roman" w:eastAsia="Times New Roman" w:hAnsi="Times New Roman"/>
      <w:b/>
      <w:bCs/>
      <w:sz w:val="27"/>
      <w:szCs w:val="27"/>
    </w:rPr>
  </w:style>
  <w:style w:type="paragraph" w:customStyle="1" w:styleId="western">
    <w:name w:val="western"/>
    <w:basedOn w:val="Normal"/>
    <w:rsid w:val="007E3CBD"/>
    <w:pPr>
      <w:spacing w:before="100" w:beforeAutospacing="1" w:after="100" w:afterAutospacing="1"/>
      <w:jc w:val="left"/>
    </w:pPr>
    <w:rPr>
      <w:rFonts w:ascii="Times New Roman" w:eastAsia="Times New Roman" w:hAnsi="Times New Roman"/>
      <w:sz w:val="24"/>
      <w:szCs w:val="24"/>
      <w:lang w:eastAsia="fr-FR"/>
    </w:rPr>
  </w:style>
  <w:style w:type="paragraph" w:styleId="NormalWeb">
    <w:name w:val="Normal (Web)"/>
    <w:basedOn w:val="Normal"/>
    <w:uiPriority w:val="99"/>
    <w:semiHidden/>
    <w:unhideWhenUsed/>
    <w:rsid w:val="007E3CBD"/>
    <w:pPr>
      <w:spacing w:before="100" w:beforeAutospacing="1" w:after="100" w:afterAutospacing="1"/>
      <w:jc w:val="left"/>
    </w:pPr>
    <w:rPr>
      <w:rFonts w:ascii="Times New Roman" w:eastAsia="Times New Roman" w:hAnsi="Times New Roman"/>
      <w:sz w:val="24"/>
      <w:szCs w:val="24"/>
      <w:lang w:eastAsia="fr-FR"/>
    </w:rPr>
  </w:style>
  <w:style w:type="character" w:customStyle="1" w:styleId="apple-converted-space">
    <w:name w:val="apple-converted-space"/>
    <w:basedOn w:val="Policepardfaut"/>
    <w:rsid w:val="007E3CBD"/>
  </w:style>
  <w:style w:type="character" w:styleId="Lienhypertexte">
    <w:name w:val="Hyperlink"/>
    <w:basedOn w:val="Policepardfaut"/>
    <w:uiPriority w:val="99"/>
    <w:unhideWhenUsed/>
    <w:rsid w:val="007E3CBD"/>
    <w:rPr>
      <w:color w:val="0000FF"/>
      <w:u w:val="single"/>
    </w:rPr>
  </w:style>
  <w:style w:type="character" w:styleId="Mentionnonrsolue">
    <w:name w:val="Unresolved Mention"/>
    <w:basedOn w:val="Policepardfaut"/>
    <w:uiPriority w:val="99"/>
    <w:semiHidden/>
    <w:unhideWhenUsed/>
    <w:rsid w:val="005255DB"/>
    <w:rPr>
      <w:color w:val="605E5C"/>
      <w:shd w:val="clear" w:color="auto" w:fill="E1DFDD"/>
    </w:rPr>
  </w:style>
  <w:style w:type="character" w:styleId="Lienhypertextesuivivisit">
    <w:name w:val="FollowedHyperlink"/>
    <w:basedOn w:val="Policepardfaut"/>
    <w:uiPriority w:val="99"/>
    <w:semiHidden/>
    <w:unhideWhenUsed/>
    <w:rsid w:val="00F06BB3"/>
    <w:rPr>
      <w:color w:val="954F72" w:themeColor="followedHyperlink"/>
      <w:u w:val="single"/>
    </w:rPr>
  </w:style>
  <w:style w:type="paragraph" w:styleId="Rvision">
    <w:name w:val="Revision"/>
    <w:hidden/>
    <w:uiPriority w:val="99"/>
    <w:semiHidden/>
    <w:rsid w:val="00721967"/>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8224250">
      <w:bodyDiv w:val="1"/>
      <w:marLeft w:val="0"/>
      <w:marRight w:val="0"/>
      <w:marTop w:val="0"/>
      <w:marBottom w:val="0"/>
      <w:divBdr>
        <w:top w:val="none" w:sz="0" w:space="0" w:color="auto"/>
        <w:left w:val="none" w:sz="0" w:space="0" w:color="auto"/>
        <w:bottom w:val="none" w:sz="0" w:space="0" w:color="auto"/>
        <w:right w:val="none" w:sz="0" w:space="0" w:color="auto"/>
      </w:divBdr>
    </w:div>
    <w:div w:id="870605550">
      <w:bodyDiv w:val="1"/>
      <w:marLeft w:val="0"/>
      <w:marRight w:val="0"/>
      <w:marTop w:val="0"/>
      <w:marBottom w:val="0"/>
      <w:divBdr>
        <w:top w:val="none" w:sz="0" w:space="0" w:color="auto"/>
        <w:left w:val="none" w:sz="0" w:space="0" w:color="auto"/>
        <w:bottom w:val="none" w:sz="0" w:space="0" w:color="auto"/>
        <w:right w:val="none" w:sz="0" w:space="0" w:color="auto"/>
      </w:divBdr>
    </w:div>
    <w:div w:id="976451892">
      <w:bodyDiv w:val="1"/>
      <w:marLeft w:val="0"/>
      <w:marRight w:val="0"/>
      <w:marTop w:val="0"/>
      <w:marBottom w:val="0"/>
      <w:divBdr>
        <w:top w:val="none" w:sz="0" w:space="0" w:color="auto"/>
        <w:left w:val="none" w:sz="0" w:space="0" w:color="auto"/>
        <w:bottom w:val="none" w:sz="0" w:space="0" w:color="auto"/>
        <w:right w:val="none" w:sz="0" w:space="0" w:color="auto"/>
      </w:divBdr>
      <w:divsChild>
        <w:div w:id="1226526196">
          <w:marLeft w:val="0"/>
          <w:marRight w:val="0"/>
          <w:marTop w:val="0"/>
          <w:marBottom w:val="0"/>
          <w:divBdr>
            <w:top w:val="none" w:sz="0" w:space="0" w:color="auto"/>
            <w:left w:val="none" w:sz="0" w:space="0" w:color="auto"/>
            <w:bottom w:val="none" w:sz="0" w:space="0" w:color="auto"/>
            <w:right w:val="none" w:sz="0" w:space="0" w:color="auto"/>
          </w:divBdr>
          <w:divsChild>
            <w:div w:id="1306810196">
              <w:marLeft w:val="0"/>
              <w:marRight w:val="0"/>
              <w:marTop w:val="0"/>
              <w:marBottom w:val="0"/>
              <w:divBdr>
                <w:top w:val="none" w:sz="0" w:space="0" w:color="auto"/>
                <w:left w:val="none" w:sz="0" w:space="0" w:color="auto"/>
                <w:bottom w:val="none" w:sz="0" w:space="0" w:color="auto"/>
                <w:right w:val="none" w:sz="0" w:space="0" w:color="auto"/>
              </w:divBdr>
              <w:divsChild>
                <w:div w:id="876357200">
                  <w:marLeft w:val="0"/>
                  <w:marRight w:val="0"/>
                  <w:marTop w:val="0"/>
                  <w:marBottom w:val="0"/>
                  <w:divBdr>
                    <w:top w:val="none" w:sz="0" w:space="0" w:color="auto"/>
                    <w:left w:val="none" w:sz="0" w:space="0" w:color="auto"/>
                    <w:bottom w:val="none" w:sz="0" w:space="0" w:color="auto"/>
                    <w:right w:val="none" w:sz="0" w:space="0" w:color="auto"/>
                  </w:divBdr>
                  <w:divsChild>
                    <w:div w:id="1360084197">
                      <w:marLeft w:val="0"/>
                      <w:marRight w:val="0"/>
                      <w:marTop w:val="0"/>
                      <w:marBottom w:val="0"/>
                      <w:divBdr>
                        <w:top w:val="none" w:sz="0" w:space="0" w:color="auto"/>
                        <w:left w:val="none" w:sz="0" w:space="0" w:color="auto"/>
                        <w:bottom w:val="none" w:sz="0" w:space="0" w:color="auto"/>
                        <w:right w:val="none" w:sz="0" w:space="0" w:color="auto"/>
                      </w:divBdr>
                      <w:divsChild>
                        <w:div w:id="397629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6429257">
      <w:bodyDiv w:val="1"/>
      <w:marLeft w:val="0"/>
      <w:marRight w:val="0"/>
      <w:marTop w:val="0"/>
      <w:marBottom w:val="0"/>
      <w:divBdr>
        <w:top w:val="none" w:sz="0" w:space="0" w:color="auto"/>
        <w:left w:val="none" w:sz="0" w:space="0" w:color="auto"/>
        <w:bottom w:val="none" w:sz="0" w:space="0" w:color="auto"/>
        <w:right w:val="none" w:sz="0" w:space="0" w:color="auto"/>
      </w:divBdr>
      <w:divsChild>
        <w:div w:id="1763142735">
          <w:marLeft w:val="0"/>
          <w:marRight w:val="0"/>
          <w:marTop w:val="0"/>
          <w:marBottom w:val="0"/>
          <w:divBdr>
            <w:top w:val="none" w:sz="0" w:space="0" w:color="auto"/>
            <w:left w:val="none" w:sz="0" w:space="0" w:color="auto"/>
            <w:bottom w:val="none" w:sz="0" w:space="0" w:color="auto"/>
            <w:right w:val="none" w:sz="0" w:space="0" w:color="auto"/>
          </w:divBdr>
          <w:divsChild>
            <w:div w:id="1954436715">
              <w:marLeft w:val="0"/>
              <w:marRight w:val="0"/>
              <w:marTop w:val="0"/>
              <w:marBottom w:val="0"/>
              <w:divBdr>
                <w:top w:val="none" w:sz="0" w:space="0" w:color="auto"/>
                <w:left w:val="none" w:sz="0" w:space="0" w:color="auto"/>
                <w:bottom w:val="none" w:sz="0" w:space="0" w:color="auto"/>
                <w:right w:val="none" w:sz="0" w:space="0" w:color="auto"/>
              </w:divBdr>
              <w:divsChild>
                <w:div w:id="1432243589">
                  <w:marLeft w:val="0"/>
                  <w:marRight w:val="0"/>
                  <w:marTop w:val="0"/>
                  <w:marBottom w:val="0"/>
                  <w:divBdr>
                    <w:top w:val="none" w:sz="0" w:space="0" w:color="auto"/>
                    <w:left w:val="none" w:sz="0" w:space="0" w:color="auto"/>
                    <w:bottom w:val="none" w:sz="0" w:space="0" w:color="auto"/>
                    <w:right w:val="none" w:sz="0" w:space="0" w:color="auto"/>
                  </w:divBdr>
                  <w:divsChild>
                    <w:div w:id="2063404322">
                      <w:marLeft w:val="0"/>
                      <w:marRight w:val="0"/>
                      <w:marTop w:val="0"/>
                      <w:marBottom w:val="0"/>
                      <w:divBdr>
                        <w:top w:val="none" w:sz="0" w:space="0" w:color="auto"/>
                        <w:left w:val="none" w:sz="0" w:space="0" w:color="auto"/>
                        <w:bottom w:val="none" w:sz="0" w:space="0" w:color="auto"/>
                        <w:right w:val="none" w:sz="0" w:space="0" w:color="auto"/>
                      </w:divBdr>
                      <w:divsChild>
                        <w:div w:id="326397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01205715">
      <w:bodyDiv w:val="1"/>
      <w:marLeft w:val="0"/>
      <w:marRight w:val="0"/>
      <w:marTop w:val="0"/>
      <w:marBottom w:val="0"/>
      <w:divBdr>
        <w:top w:val="none" w:sz="0" w:space="0" w:color="auto"/>
        <w:left w:val="none" w:sz="0" w:space="0" w:color="auto"/>
        <w:bottom w:val="none" w:sz="0" w:space="0" w:color="auto"/>
        <w:right w:val="none" w:sz="0" w:space="0" w:color="auto"/>
      </w:divBdr>
    </w:div>
    <w:div w:id="2012829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legifrance.gouv.fr/affichCode.do;jsessionid=70CA6F4F0D95CE0F0EC9A1EDFC33A562.tpdjo08v_3?idSectionTA=LEGISCTA000006180929&amp;cidTexte=LEGITEXT000006070633&amp;dateTexte=20130304"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8cc0e16f-617b-489b-927d-e47d6a9b0dd6" xsi:nil="true"/>
    <lcf76f155ced4ddcb4097134ff3c332f xmlns="aafef5a3-8d0f-40fe-92d2-3a83d9f5351b">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8DDB407A8B4D74D9778025007C2B287" ma:contentTypeVersion="13" ma:contentTypeDescription="Crée un document." ma:contentTypeScope="" ma:versionID="1394db6ae5b5bb41f843ae5423230043">
  <xsd:schema xmlns:xsd="http://www.w3.org/2001/XMLSchema" xmlns:xs="http://www.w3.org/2001/XMLSchema" xmlns:p="http://schemas.microsoft.com/office/2006/metadata/properties" xmlns:ns2="aafef5a3-8d0f-40fe-92d2-3a83d9f5351b" xmlns:ns3="8cc0e16f-617b-489b-927d-e47d6a9b0dd6" targetNamespace="http://schemas.microsoft.com/office/2006/metadata/properties" ma:root="true" ma:fieldsID="4bbac4d70dee60725a03a379675b0f45" ns2:_="" ns3:_="">
    <xsd:import namespace="aafef5a3-8d0f-40fe-92d2-3a83d9f5351b"/>
    <xsd:import namespace="8cc0e16f-617b-489b-927d-e47d6a9b0d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fef5a3-8d0f-40fe-92d2-3a83d9f5351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4e8b39c3-5b2a-410c-878e-fd29726316ae"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c0e16f-617b-489b-927d-e47d6a9b0dd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57d5565-ac82-42f4-92ae-7ca5ea33f40e}" ma:internalName="TaxCatchAll" ma:showField="CatchAllData" ma:web="8cc0e16f-617b-489b-927d-e47d6a9b0d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5796AD4-8588-45D3-B654-E51F17CD423F}">
  <ds:schemaRefs>
    <ds:schemaRef ds:uri="http://schemas.microsoft.com/office/2006/metadata/properties"/>
    <ds:schemaRef ds:uri="http://schemas.microsoft.com/office/infopath/2007/PartnerControls"/>
    <ds:schemaRef ds:uri="8cc0e16f-617b-489b-927d-e47d6a9b0dd6"/>
    <ds:schemaRef ds:uri="aafef5a3-8d0f-40fe-92d2-3a83d9f5351b"/>
  </ds:schemaRefs>
</ds:datastoreItem>
</file>

<file path=customXml/itemProps2.xml><?xml version="1.0" encoding="utf-8"?>
<ds:datastoreItem xmlns:ds="http://schemas.openxmlformats.org/officeDocument/2006/customXml" ds:itemID="{25F3095C-E625-4166-B09B-8711ED4AD36F}"/>
</file>

<file path=customXml/itemProps3.xml><?xml version="1.0" encoding="utf-8"?>
<ds:datastoreItem xmlns:ds="http://schemas.openxmlformats.org/officeDocument/2006/customXml" ds:itemID="{9A3FCD8C-C2CC-4EFE-BAB7-CB65D31CAD8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425</Words>
  <Characters>2341</Characters>
  <Application>Microsoft Office Word</Application>
  <DocSecurity>0</DocSecurity>
  <Lines>19</Lines>
  <Paragraphs>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2761</CharactersWithSpaces>
  <SharedDoc>false</SharedDoc>
  <HLinks>
    <vt:vector size="6" baseType="variant">
      <vt:variant>
        <vt:i4>6291458</vt:i4>
      </vt:variant>
      <vt:variant>
        <vt:i4>0</vt:i4>
      </vt:variant>
      <vt:variant>
        <vt:i4>0</vt:i4>
      </vt:variant>
      <vt:variant>
        <vt:i4>5</vt:i4>
      </vt:variant>
      <vt:variant>
        <vt:lpwstr>http://www.legifrance.gouv.fr/affichTexte.do;jsessionid=32132884A0CCA1B2232C42E8057E6B15.tpdjo17v_2?cidTexte=JORFTEXT000000804607&amp;dateTexte=20141202&amp;categorieLien=id</vt:lpwstr>
      </vt:variant>
      <vt:variant>
        <vt:lpwstr>JORFTEXT000000804607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URACOFOR</dc:creator>
  <cp:keywords/>
  <cp:lastModifiedBy>Lucas REYNIER</cp:lastModifiedBy>
  <cp:revision>3</cp:revision>
  <cp:lastPrinted>2014-12-02T13:28:00Z</cp:lastPrinted>
  <dcterms:created xsi:type="dcterms:W3CDTF">2024-12-19T12:56:00Z</dcterms:created>
  <dcterms:modified xsi:type="dcterms:W3CDTF">2025-01-06T11:29:00Z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0x01010068DDB407A8B4D74D9778025007C2B287</vt:lpwstr>
  </property>
</Properties>
</file>